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4F578">
      <w:pPr>
        <w:adjustRightInd w:val="0"/>
        <w:snapToGrid w:val="0"/>
        <w:spacing w:line="560" w:lineRule="exact"/>
        <w:jc w:val="center"/>
        <w:rPr>
          <w:rFonts w:hint="eastAsia" w:ascii="仿宋" w:hAnsi="仿宋" w:eastAsia="仿宋" w:cs="方正小标宋简体"/>
          <w:b/>
          <w:bCs/>
          <w:snapToGrid w:val="0"/>
          <w:spacing w:val="6"/>
          <w:kern w:val="0"/>
          <w:sz w:val="36"/>
          <w:szCs w:val="36"/>
          <w:highlight w:val="none"/>
        </w:rPr>
      </w:pPr>
      <w:r>
        <w:rPr>
          <w:rFonts w:hint="eastAsia" w:ascii="仿宋" w:hAnsi="仿宋" w:eastAsia="仿宋" w:cs="宋体"/>
          <w:b/>
          <w:bCs/>
          <w:snapToGrid w:val="0"/>
          <w:spacing w:val="6"/>
          <w:kern w:val="0"/>
          <w:sz w:val="36"/>
          <w:szCs w:val="36"/>
          <w:highlight w:val="none"/>
        </w:rPr>
        <w:t>计算机科学与技术学院</w:t>
      </w:r>
    </w:p>
    <w:p w14:paraId="4C9981C7">
      <w:pPr>
        <w:adjustRightInd w:val="0"/>
        <w:snapToGrid w:val="0"/>
        <w:spacing w:line="560" w:lineRule="exact"/>
        <w:jc w:val="center"/>
        <w:rPr>
          <w:rFonts w:hint="eastAsia" w:ascii="仿宋" w:hAnsi="仿宋" w:eastAsia="仿宋" w:cs="宋体"/>
          <w:b/>
          <w:bCs/>
          <w:snapToGrid w:val="0"/>
          <w:spacing w:val="6"/>
          <w:kern w:val="0"/>
          <w:sz w:val="36"/>
          <w:szCs w:val="36"/>
          <w:highlight w:val="none"/>
        </w:rPr>
      </w:pPr>
      <w:r>
        <w:rPr>
          <w:rFonts w:hint="eastAsia" w:ascii="仿宋" w:hAnsi="仿宋" w:eastAsia="仿宋" w:cs="宋体"/>
          <w:b/>
          <w:bCs/>
          <w:snapToGrid w:val="0"/>
          <w:spacing w:val="6"/>
          <w:kern w:val="0"/>
          <w:sz w:val="36"/>
          <w:szCs w:val="36"/>
          <w:highlight w:val="none"/>
        </w:rPr>
        <w:t>研究生学业奖学金评定与管理细则（试行）</w:t>
      </w:r>
    </w:p>
    <w:p w14:paraId="2F89EB44">
      <w:pPr>
        <w:adjustRightInd w:val="0"/>
        <w:snapToGrid w:val="0"/>
        <w:spacing w:line="560" w:lineRule="exact"/>
        <w:jc w:val="center"/>
        <w:rPr>
          <w:rFonts w:hint="eastAsia" w:ascii="仿宋" w:hAnsi="仿宋" w:eastAsia="仿宋" w:cs="宋体"/>
          <w:b/>
          <w:bCs/>
          <w:snapToGrid w:val="0"/>
          <w:spacing w:val="6"/>
          <w:kern w:val="0"/>
          <w:sz w:val="36"/>
          <w:szCs w:val="36"/>
          <w:highlight w:val="none"/>
        </w:rPr>
      </w:pPr>
      <w:r>
        <w:rPr>
          <w:rFonts w:hint="eastAsia" w:ascii="仿宋" w:hAnsi="仿宋" w:eastAsia="仿宋" w:cs="宋体"/>
          <w:b/>
          <w:bCs/>
          <w:snapToGrid w:val="0"/>
          <w:spacing w:val="6"/>
          <w:kern w:val="0"/>
          <w:sz w:val="36"/>
          <w:szCs w:val="36"/>
          <w:highlight w:val="none"/>
        </w:rPr>
        <w:t>（硕士、博士一年级学业奖学金适用）</w:t>
      </w:r>
    </w:p>
    <w:p w14:paraId="502D94CD">
      <w:pPr>
        <w:adjustRightInd w:val="0"/>
        <w:snapToGrid w:val="0"/>
        <w:spacing w:line="560" w:lineRule="exact"/>
        <w:ind w:firstLine="747"/>
        <w:jc w:val="center"/>
        <w:rPr>
          <w:rFonts w:hint="eastAsia" w:ascii="仿宋" w:hAnsi="仿宋" w:eastAsia="仿宋" w:cs="宋体"/>
          <w:b/>
          <w:bCs/>
          <w:snapToGrid w:val="0"/>
          <w:spacing w:val="6"/>
          <w:kern w:val="0"/>
          <w:sz w:val="36"/>
          <w:szCs w:val="36"/>
          <w:highlight w:val="none"/>
        </w:rPr>
      </w:pPr>
    </w:p>
    <w:p w14:paraId="0FA11F7B">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为了配合学校做好研究生国家奖学金评定与管理工作，根据</w:t>
      </w:r>
      <w:r>
        <w:rPr>
          <w:rFonts w:hint="eastAsia" w:ascii="仿宋" w:hAnsi="仿宋" w:eastAsia="仿宋" w:cs="仿宋"/>
          <w:sz w:val="32"/>
          <w:szCs w:val="32"/>
          <w:highlight w:val="none"/>
          <w:lang w:val="en-US" w:eastAsia="zh-CN"/>
        </w:rPr>
        <w:t>《关于印发〈哈尔滨理工大学研究生学业奖学金实施细则（修订）〉的通知》（校发〔2025〕23号）、</w:t>
      </w:r>
      <w:r>
        <w:rPr>
          <w:rFonts w:hint="eastAsia" w:ascii="仿宋" w:hAnsi="仿宋" w:eastAsia="仿宋" w:cs="仿宋"/>
          <w:sz w:val="32"/>
          <w:szCs w:val="32"/>
          <w:highlight w:val="none"/>
        </w:rPr>
        <w:t>《哈尔滨理工大学研究生学业奖学金实施细则》</w:t>
      </w:r>
      <w:r>
        <w:rPr>
          <w:rFonts w:hint="eastAsia" w:ascii="仿宋" w:hAnsi="仿宋" w:eastAsia="仿宋" w:cs="仿宋"/>
          <w:sz w:val="32"/>
          <w:szCs w:val="32"/>
          <w:highlight w:val="none"/>
          <w:lang w:val="en-US" w:eastAsia="zh-CN"/>
        </w:rPr>
        <w:t>等</w:t>
      </w:r>
      <w:r>
        <w:rPr>
          <w:rFonts w:hint="eastAsia" w:ascii="仿宋" w:hAnsi="仿宋" w:eastAsia="仿宋" w:cs="仿宋"/>
          <w:sz w:val="32"/>
          <w:szCs w:val="32"/>
          <w:highlight w:val="none"/>
        </w:rPr>
        <w:t>规定，特制定计算机学院评定与管理细则，所有佐证材料时间节点自入学之日起，至奖学金评定日止。</w:t>
      </w:r>
    </w:p>
    <w:p w14:paraId="19E67A23">
      <w:pPr>
        <w:spacing w:line="560" w:lineRule="exact"/>
        <w:ind w:firstLine="643"/>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一、组织机构及职责</w:t>
      </w:r>
    </w:p>
    <w:p w14:paraId="62F9FA27">
      <w:pPr>
        <w:spacing w:line="560" w:lineRule="exact"/>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（一）学院研究生奖学金评审委员会组成</w:t>
      </w:r>
    </w:p>
    <w:p w14:paraId="2AFE8C67">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学校学生资助工作领导小组负责研究生学业奖学金全面组织实施；学生处负责具体组织实施、结果审核、指导监督及日常管理工作；学院学生资助工作小组负责对学院研究生学业奖学金评审委员会评审结果的审核。</w:t>
      </w:r>
    </w:p>
    <w:p w14:paraId="025D03EB">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学院学生资助工作小组由学院领导、研究生导师代表、研究生管理人员、学生代表组成，设评审委员会组长1人，副组长2人，秘书1人。</w:t>
      </w:r>
    </w:p>
    <w:p w14:paraId="456C0033">
      <w:pPr>
        <w:spacing w:line="560" w:lineRule="exact"/>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（二）评审程序</w:t>
      </w:r>
    </w:p>
    <w:p w14:paraId="5DC46757">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1.学生处向学校学生资助工作领导小组请示同意后，启动研究生学业奖学金评审工作，下发评审工作通知。</w:t>
      </w:r>
    </w:p>
    <w:p w14:paraId="5D81509D">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val="en-US" w:eastAsia="zh-CN"/>
        </w:rPr>
        <w:t>学院</w:t>
      </w:r>
      <w:r>
        <w:rPr>
          <w:rFonts w:hint="eastAsia" w:ascii="仿宋" w:hAnsi="仿宋" w:eastAsia="仿宋" w:cs="仿宋"/>
          <w:sz w:val="32"/>
          <w:szCs w:val="32"/>
          <w:highlight w:val="none"/>
        </w:rPr>
        <w:t>充分利用本单位网站、宣传橱窗、微信公众号、班级工作群等渠道，广泛开展研究生学业奖学金评选宣传工作，让学生了解评选条件、评选流程。</w:t>
      </w:r>
    </w:p>
    <w:p w14:paraId="13826FF3">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3.学生提出研究生学业奖学金申请，递交《哈尔滨理工大学研究生学业奖学金评审表》，提交佐证材料，</w:t>
      </w:r>
      <w:r>
        <w:rPr>
          <w:rFonts w:hint="eastAsia" w:ascii="仿宋" w:hAnsi="仿宋" w:eastAsia="仿宋" w:cs="仿宋"/>
          <w:sz w:val="32"/>
          <w:szCs w:val="32"/>
          <w:highlight w:val="none"/>
          <w:lang w:val="en-US" w:eastAsia="zh-CN"/>
        </w:rPr>
        <w:t>学院</w:t>
      </w:r>
      <w:r>
        <w:rPr>
          <w:rFonts w:hint="eastAsia" w:ascii="仿宋" w:hAnsi="仿宋" w:eastAsia="仿宋" w:cs="仿宋"/>
          <w:sz w:val="32"/>
          <w:szCs w:val="32"/>
          <w:highlight w:val="none"/>
        </w:rPr>
        <w:t>根据本细则规定的申请条件审查申请学生资格。</w:t>
      </w:r>
    </w:p>
    <w:p w14:paraId="00085E2C">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w:t>
      </w:r>
      <w:r>
        <w:rPr>
          <w:rFonts w:hint="eastAsia" w:ascii="仿宋" w:hAnsi="仿宋" w:eastAsia="仿宋" w:cs="仿宋"/>
          <w:sz w:val="32"/>
          <w:szCs w:val="32"/>
          <w:highlight w:val="none"/>
          <w:lang w:val="en-US" w:eastAsia="zh-CN"/>
        </w:rPr>
        <w:t>学院研究生学业奖学金评审委员会主任</w:t>
      </w:r>
      <w:r>
        <w:rPr>
          <w:rFonts w:hint="eastAsia" w:ascii="仿宋" w:hAnsi="仿宋" w:eastAsia="仿宋" w:cs="仿宋"/>
          <w:sz w:val="32"/>
          <w:szCs w:val="32"/>
          <w:highlight w:val="none"/>
        </w:rPr>
        <w:t>负责组织</w:t>
      </w:r>
      <w:r>
        <w:rPr>
          <w:rFonts w:hint="eastAsia" w:ascii="仿宋" w:hAnsi="仿宋" w:eastAsia="仿宋" w:cs="仿宋"/>
          <w:sz w:val="32"/>
          <w:szCs w:val="32"/>
          <w:highlight w:val="none"/>
          <w:lang w:val="en-US" w:eastAsia="zh-CN"/>
        </w:rPr>
        <w:t>研究生学业奖学金评审委员会委员</w:t>
      </w:r>
      <w:r>
        <w:rPr>
          <w:rFonts w:hint="eastAsia" w:ascii="仿宋" w:hAnsi="仿宋" w:eastAsia="仿宋" w:cs="仿宋"/>
          <w:sz w:val="32"/>
          <w:szCs w:val="32"/>
          <w:highlight w:val="none"/>
        </w:rPr>
        <w:t>对申请学业奖学金的学生进行初步评审，并将初步评审结果报学院学生资助工作小组审核。</w:t>
      </w:r>
    </w:p>
    <w:p w14:paraId="291720DA">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5.学院学生资助工作小组对</w:t>
      </w:r>
      <w:r>
        <w:rPr>
          <w:rFonts w:hint="eastAsia" w:ascii="仿宋" w:hAnsi="仿宋" w:eastAsia="仿宋" w:cs="仿宋"/>
          <w:sz w:val="32"/>
          <w:szCs w:val="32"/>
          <w:highlight w:val="none"/>
          <w:lang w:val="en-US" w:eastAsia="zh-CN"/>
        </w:rPr>
        <w:t>学院研究生学业奖学金评审委员会</w:t>
      </w:r>
      <w:r>
        <w:rPr>
          <w:rFonts w:hint="eastAsia" w:ascii="仿宋" w:hAnsi="仿宋" w:eastAsia="仿宋" w:cs="仿宋"/>
          <w:sz w:val="32"/>
          <w:szCs w:val="32"/>
          <w:highlight w:val="none"/>
        </w:rPr>
        <w:t>初步评审结果进行审核，组织召开评审工作会议，等额确定</w:t>
      </w:r>
      <w:r>
        <w:rPr>
          <w:rFonts w:hint="eastAsia" w:ascii="仿宋" w:hAnsi="仿宋" w:eastAsia="仿宋" w:cs="仿宋"/>
          <w:sz w:val="32"/>
          <w:szCs w:val="32"/>
          <w:highlight w:val="none"/>
          <w:lang w:val="en-US" w:eastAsia="zh-CN"/>
        </w:rPr>
        <w:t>学院</w:t>
      </w:r>
      <w:r>
        <w:rPr>
          <w:rFonts w:hint="eastAsia" w:ascii="仿宋" w:hAnsi="仿宋" w:eastAsia="仿宋" w:cs="仿宋"/>
          <w:sz w:val="32"/>
          <w:szCs w:val="32"/>
          <w:highlight w:val="none"/>
        </w:rPr>
        <w:t>研究生学业奖学金获奖学生建议名单。</w:t>
      </w:r>
    </w:p>
    <w:p w14:paraId="45D98746">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6.对研究生学业奖学金获奖学生建议名单在</w:t>
      </w:r>
      <w:r>
        <w:rPr>
          <w:rFonts w:hint="eastAsia" w:ascii="仿宋" w:hAnsi="仿宋" w:eastAsia="仿宋" w:cs="仿宋"/>
          <w:sz w:val="32"/>
          <w:szCs w:val="32"/>
          <w:highlight w:val="none"/>
          <w:lang w:val="en-US" w:eastAsia="zh-CN"/>
        </w:rPr>
        <w:t>学院</w:t>
      </w:r>
      <w:r>
        <w:rPr>
          <w:rFonts w:hint="eastAsia" w:ascii="仿宋" w:hAnsi="仿宋" w:eastAsia="仿宋" w:cs="仿宋"/>
          <w:sz w:val="32"/>
          <w:szCs w:val="32"/>
          <w:highlight w:val="none"/>
        </w:rPr>
        <w:t>范围内进5个工作日的公示。在学院公示结束后，上报给学生处。</w:t>
      </w:r>
    </w:p>
    <w:p w14:paraId="49E3F07E">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7.学生处对</w:t>
      </w:r>
      <w:r>
        <w:rPr>
          <w:rFonts w:hint="eastAsia" w:ascii="仿宋" w:hAnsi="仿宋" w:eastAsia="仿宋" w:cs="仿宋"/>
          <w:sz w:val="32"/>
          <w:szCs w:val="32"/>
          <w:highlight w:val="none"/>
          <w:lang w:val="en-US" w:eastAsia="zh-CN"/>
        </w:rPr>
        <w:t>学院</w:t>
      </w:r>
      <w:r>
        <w:rPr>
          <w:rFonts w:hint="eastAsia" w:ascii="仿宋" w:hAnsi="仿宋" w:eastAsia="仿宋" w:cs="仿宋"/>
          <w:sz w:val="32"/>
          <w:szCs w:val="32"/>
          <w:highlight w:val="none"/>
        </w:rPr>
        <w:t>评审程序、推荐学生资格条件、推荐名额、评审结果进行审核，组织召开学校研究生学业奖学金评审工作会议，经学校学生资助工作领导小组集体研究审议，确定研究生学业奖学金建议学生名单。</w:t>
      </w:r>
    </w:p>
    <w:p w14:paraId="4FB780A9">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8.学生处将研究生学业奖学金建议学生名单在学校范围内进行5个工作日的公示。公示无异议后，提交学校学生资助工作领导小组审定。</w:t>
      </w:r>
    </w:p>
    <w:p w14:paraId="4DCFA909">
      <w:pPr>
        <w:spacing w:line="560" w:lineRule="exact"/>
        <w:ind w:firstLine="643"/>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二、参评范围</w:t>
      </w:r>
    </w:p>
    <w:p w14:paraId="3C132BDE">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学业奖学金参评范围为纳入全国研究生招生计划且具有中华人民共和国国籍的全日制研究生（有固定工资收入的、人事档案未到学校的研究生除外），须具备的条件以</w:t>
      </w:r>
      <w:r>
        <w:rPr>
          <w:rFonts w:hint="eastAsia" w:ascii="仿宋" w:hAnsi="仿宋" w:eastAsia="仿宋" w:cs="仿宋"/>
          <w:sz w:val="32"/>
          <w:szCs w:val="32"/>
          <w:highlight w:val="none"/>
          <w:lang w:val="en-US" w:eastAsia="zh-CN"/>
        </w:rPr>
        <w:t>校发〔2025〕23号</w:t>
      </w:r>
      <w:r>
        <w:rPr>
          <w:rFonts w:hint="eastAsia" w:ascii="仿宋" w:hAnsi="仿宋" w:eastAsia="仿宋" w:cs="仿宋"/>
          <w:sz w:val="32"/>
          <w:szCs w:val="32"/>
          <w:highlight w:val="none"/>
        </w:rPr>
        <w:t>文件规定为主。</w:t>
      </w:r>
    </w:p>
    <w:p w14:paraId="78C0D51C">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直博生和招生简章中注明不授予中间学位的硕博连读学生，根据当年所修课程的层次阶段确定身份参与学业奖学金的评定，在选修硕士课程阶段按照硕士研究生身份参与评定，进入选修博士研究生课程阶段按照博士研究生身份参与评定。保留入学资格的研究生，恢复入学后，随就读年级参与学业奖学金评定。</w:t>
      </w:r>
    </w:p>
    <w:p w14:paraId="33DB8769">
      <w:pPr>
        <w:spacing w:line="560" w:lineRule="exact"/>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三、研究生学业奖学金申请条件</w:t>
      </w:r>
    </w:p>
    <w:p w14:paraId="180EA002">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研究生学业奖学金基本申请条件：</w:t>
      </w:r>
    </w:p>
    <w:p w14:paraId="041D3CAE">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1.具有中华人民共和国国籍；</w:t>
      </w:r>
    </w:p>
    <w:p w14:paraId="70AD8B6A">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2.热爱社会主义祖国，拥护中国共产党的领导；</w:t>
      </w:r>
    </w:p>
    <w:p w14:paraId="4CCA6827">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3.遵守宪法和法律，遵守高等学校规章制度；</w:t>
      </w:r>
    </w:p>
    <w:p w14:paraId="0C0A89BF">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4.诚实守信，品学兼优；</w:t>
      </w:r>
    </w:p>
    <w:p w14:paraId="0B53153E">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5.积极参与科学研究和社会实践；</w:t>
      </w:r>
    </w:p>
    <w:p w14:paraId="0D62AF7D">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6.人事档案转入学校。</w:t>
      </w:r>
    </w:p>
    <w:p w14:paraId="1DF2F839">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研究生有下列情形之一，不具备参评资格：</w:t>
      </w:r>
    </w:p>
    <w:p w14:paraId="0D2963D3">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1.违反法律法规、校规校纪，受到纪律处分，在处分期内的；</w:t>
      </w:r>
    </w:p>
    <w:p w14:paraId="07E74336">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2.发现抄袭剽窃、弄虚作假等学术不端行为经查证属实的；</w:t>
      </w:r>
    </w:p>
    <w:p w14:paraId="4E0A32E0">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3.因疾病、创业、因私出国留学等原因未在校学习，学籍状态处于休学、保留学籍的；</w:t>
      </w:r>
    </w:p>
    <w:p w14:paraId="784EA76B">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4.未完成培养计划所规定内容或参评学年内有课程不及格的；</w:t>
      </w:r>
    </w:p>
    <w:p w14:paraId="2604062D">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5.无正当事由未在学校规定的时间内完成注册或无故欠缴学费的。</w:t>
      </w:r>
    </w:p>
    <w:p w14:paraId="73DCFB77">
      <w:pPr>
        <w:spacing w:line="560" w:lineRule="exact"/>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四、硕士、博士一年级学业奖学金说明</w:t>
      </w:r>
    </w:p>
    <w:p w14:paraId="4BA71770">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根据《关于印发〈哈尔滨理工大学研究生学业奖学金实施细则（修订）〉的通知》（校发〔2025〕23号）文件精神，自2026级研究生起，取消研究生学业助学金项目。</w:t>
      </w:r>
    </w:p>
    <w:p w14:paraId="6B3A2E55">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1.博士研究生学业奖学金。在学期间按学制评定。博士一年级，奖学金每生每年1</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000元（不超过本年级研究生人数）。</w:t>
      </w:r>
    </w:p>
    <w:p w14:paraId="6A65F796">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2.硕士研究生学业奖学金。在学期间按学制评定。</w:t>
      </w:r>
    </w:p>
    <w:p w14:paraId="1CAAB227">
      <w:pPr>
        <w:spacing w:line="560"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(1)硕士一年级一等奖学金每生每年11000元(参评人员为推荐免试研究生)</w:t>
      </w:r>
      <w:r>
        <w:rPr>
          <w:rFonts w:hint="eastAsia" w:ascii="仿宋" w:hAnsi="仿宋" w:eastAsia="仿宋" w:cs="仿宋"/>
          <w:sz w:val="32"/>
          <w:szCs w:val="32"/>
          <w:highlight w:val="none"/>
          <w:lang w:eastAsia="zh-CN"/>
        </w:rPr>
        <w:t>。</w:t>
      </w:r>
    </w:p>
    <w:p w14:paraId="55ECBB32">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(2)二等奖学金每生每年10000元（参评人员为统考研究生，按各专业初试和复试总成绩排名前30%确定）。</w:t>
      </w:r>
    </w:p>
    <w:p w14:paraId="26580935">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硕士一年级总成绩计算公式：</w:t>
      </w:r>
    </w:p>
    <w:p w14:paraId="25FC2507">
      <w:pPr>
        <w:spacing w:line="560" w:lineRule="exact"/>
        <w:jc w:val="center"/>
        <w:rPr>
          <w:rFonts w:hint="eastAsia" w:ascii="仿宋" w:hAnsi="仿宋" w:eastAsia="仿宋" w:cs="仿宋"/>
          <w:sz w:val="32"/>
          <w:szCs w:val="32"/>
          <w:highlight w:val="none"/>
        </w:rPr>
      </w:pPr>
      <w:r>
        <w:rPr>
          <w:position w:val="-8"/>
          <w:highlight w:val="none"/>
        </w:rPr>
        <w:object>
          <v:shape id="_x0000_i1025" o:spt="75" type="#_x0000_t75" style="height:18.8pt;width:242.4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14:paraId="079DA822">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3.说明</w:t>
      </w:r>
    </w:p>
    <w:p w14:paraId="4647D121">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(1)综合评定成绩总分为100分，按不同专业不同方向分别评定，奖学金候选人顺序按综合评定成绩由高到低排序，按总成绩排名前30%确定。</w:t>
      </w:r>
    </w:p>
    <w:p w14:paraId="4C2EC258">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(2)综合评定成绩相同的情况下以初试成绩高为推荐原则。</w:t>
      </w:r>
    </w:p>
    <w:p w14:paraId="38E27E44">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(3)本办法所有制度文件若遇国家及学校、学院相关调整， 则以最新制度文件为准。</w:t>
      </w:r>
    </w:p>
    <w:p w14:paraId="2C4C84D8">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本细则由计算机科学与技术学院负责解释。</w:t>
      </w:r>
    </w:p>
    <w:p w14:paraId="725504C2">
      <w:pPr>
        <w:spacing w:line="560" w:lineRule="exact"/>
        <w:ind w:firstLine="640" w:firstLineChars="200"/>
        <w:rPr>
          <w:rFonts w:hint="eastAsia" w:ascii="仿宋" w:hAnsi="仿宋" w:eastAsia="仿宋" w:cs="仿宋"/>
          <w:sz w:val="32"/>
          <w:szCs w:val="32"/>
          <w:highlight w:val="none"/>
        </w:rPr>
      </w:pPr>
    </w:p>
    <w:p w14:paraId="38D8E0AF">
      <w:pPr>
        <w:spacing w:line="560" w:lineRule="exact"/>
        <w:ind w:firstLine="640" w:firstLineChars="200"/>
        <w:rPr>
          <w:rFonts w:hint="eastAsia" w:ascii="仿宋" w:hAnsi="仿宋" w:eastAsia="仿宋" w:cs="仿宋"/>
          <w:sz w:val="32"/>
          <w:szCs w:val="32"/>
          <w:highlight w:val="none"/>
        </w:rPr>
      </w:pPr>
    </w:p>
    <w:p w14:paraId="2F88A0E4">
      <w:pPr>
        <w:spacing w:line="560" w:lineRule="exact"/>
        <w:jc w:val="right"/>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哈尔滨理工大学计算机科学与技术学院 </w:t>
      </w:r>
    </w:p>
    <w:p w14:paraId="077E31D6">
      <w:pPr>
        <w:spacing w:line="560" w:lineRule="exact"/>
        <w:jc w:val="right"/>
        <w:rPr>
          <w:rFonts w:hint="eastAsia" w:ascii="仿宋" w:hAnsi="仿宋" w:eastAsia="仿宋" w:cs="仿宋"/>
          <w:sz w:val="32"/>
          <w:szCs w:val="32"/>
          <w:highlight w:val="none"/>
        </w:rPr>
      </w:pPr>
      <w:r>
        <w:rPr>
          <w:rFonts w:hint="eastAsia" w:ascii="仿宋" w:hAnsi="仿宋" w:eastAsia="仿宋" w:cs="仿宋"/>
          <w:sz w:val="32"/>
          <w:szCs w:val="32"/>
          <w:highlight w:val="none"/>
        </w:rPr>
        <w:t>2025年1</w:t>
      </w:r>
      <w:r>
        <w:rPr>
          <w:rFonts w:hint="eastAsia" w:ascii="仿宋" w:hAnsi="仿宋" w:eastAsia="仿宋" w:cs="仿宋"/>
          <w:sz w:val="32"/>
          <w:szCs w:val="32"/>
          <w:highlight w:val="none"/>
          <w:lang w:val="en-US" w:eastAsia="zh-CN"/>
        </w:rPr>
        <w:t>2</w:t>
      </w:r>
      <w:bookmarkStart w:id="0" w:name="_GoBack"/>
      <w:bookmarkEnd w:id="0"/>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16</w:t>
      </w:r>
      <w:r>
        <w:rPr>
          <w:rFonts w:hint="eastAsia" w:ascii="仿宋" w:hAnsi="仿宋" w:eastAsia="仿宋" w:cs="仿宋"/>
          <w:sz w:val="32"/>
          <w:szCs w:val="32"/>
          <w:highlight w:val="none"/>
        </w:rPr>
        <w:t>日</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B43B61CD-F282-4D37-94C2-B1B55606656C}"/>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xYmNhZjcxNTI4NjUyMTUxMzI3MzUyOTU0MTYxYjYifQ=="/>
  </w:docVars>
  <w:rsids>
    <w:rsidRoot w:val="008352EC"/>
    <w:rsid w:val="00014852"/>
    <w:rsid w:val="00015FDE"/>
    <w:rsid w:val="00111C6A"/>
    <w:rsid w:val="0013399B"/>
    <w:rsid w:val="00133E23"/>
    <w:rsid w:val="00147761"/>
    <w:rsid w:val="00155F89"/>
    <w:rsid w:val="001B02A2"/>
    <w:rsid w:val="001C38D3"/>
    <w:rsid w:val="002037E0"/>
    <w:rsid w:val="00231561"/>
    <w:rsid w:val="00254CC5"/>
    <w:rsid w:val="002C0490"/>
    <w:rsid w:val="002E3315"/>
    <w:rsid w:val="003110B0"/>
    <w:rsid w:val="00321C09"/>
    <w:rsid w:val="00322706"/>
    <w:rsid w:val="00345F18"/>
    <w:rsid w:val="003850EA"/>
    <w:rsid w:val="003A6EFA"/>
    <w:rsid w:val="00421E77"/>
    <w:rsid w:val="0043786F"/>
    <w:rsid w:val="00465362"/>
    <w:rsid w:val="004866CD"/>
    <w:rsid w:val="004E3EF3"/>
    <w:rsid w:val="004E73B0"/>
    <w:rsid w:val="00503C1E"/>
    <w:rsid w:val="005226E6"/>
    <w:rsid w:val="00592742"/>
    <w:rsid w:val="005A7ECA"/>
    <w:rsid w:val="005C39F9"/>
    <w:rsid w:val="0060357D"/>
    <w:rsid w:val="00606E77"/>
    <w:rsid w:val="006219F8"/>
    <w:rsid w:val="00625EE8"/>
    <w:rsid w:val="00660854"/>
    <w:rsid w:val="006C28BB"/>
    <w:rsid w:val="007179D9"/>
    <w:rsid w:val="00804858"/>
    <w:rsid w:val="00831904"/>
    <w:rsid w:val="008352EC"/>
    <w:rsid w:val="0083663E"/>
    <w:rsid w:val="00863A5D"/>
    <w:rsid w:val="0092351E"/>
    <w:rsid w:val="009365FB"/>
    <w:rsid w:val="00941FD1"/>
    <w:rsid w:val="0095357D"/>
    <w:rsid w:val="009A74F6"/>
    <w:rsid w:val="00A230BD"/>
    <w:rsid w:val="00A652FF"/>
    <w:rsid w:val="00AC31AE"/>
    <w:rsid w:val="00AF1929"/>
    <w:rsid w:val="00B04393"/>
    <w:rsid w:val="00B35BA2"/>
    <w:rsid w:val="00B4657B"/>
    <w:rsid w:val="00B86C00"/>
    <w:rsid w:val="00C1767C"/>
    <w:rsid w:val="00C36BA4"/>
    <w:rsid w:val="00C91CFC"/>
    <w:rsid w:val="00CC6F4D"/>
    <w:rsid w:val="00CE1DF9"/>
    <w:rsid w:val="00D737DB"/>
    <w:rsid w:val="00D9003B"/>
    <w:rsid w:val="00DC327A"/>
    <w:rsid w:val="00E03FE4"/>
    <w:rsid w:val="00E10C4B"/>
    <w:rsid w:val="00E526E1"/>
    <w:rsid w:val="00E631E4"/>
    <w:rsid w:val="00E93B8A"/>
    <w:rsid w:val="00EE12C0"/>
    <w:rsid w:val="00F31546"/>
    <w:rsid w:val="00F46F67"/>
    <w:rsid w:val="00F52A8D"/>
    <w:rsid w:val="00FD56E6"/>
    <w:rsid w:val="00FF57E7"/>
    <w:rsid w:val="012D3D0B"/>
    <w:rsid w:val="017C6D0A"/>
    <w:rsid w:val="01E11F16"/>
    <w:rsid w:val="03C52BEB"/>
    <w:rsid w:val="041D2A27"/>
    <w:rsid w:val="05450955"/>
    <w:rsid w:val="05922FA0"/>
    <w:rsid w:val="06E30249"/>
    <w:rsid w:val="07AF7E3A"/>
    <w:rsid w:val="082A233D"/>
    <w:rsid w:val="0A1D4DA9"/>
    <w:rsid w:val="0DA10224"/>
    <w:rsid w:val="0DA9532B"/>
    <w:rsid w:val="0E38691F"/>
    <w:rsid w:val="0E6B2F53"/>
    <w:rsid w:val="106043C7"/>
    <w:rsid w:val="10DC1574"/>
    <w:rsid w:val="114535BD"/>
    <w:rsid w:val="11800151"/>
    <w:rsid w:val="12323B41"/>
    <w:rsid w:val="131B2827"/>
    <w:rsid w:val="140B289C"/>
    <w:rsid w:val="15A05CBE"/>
    <w:rsid w:val="16122F8D"/>
    <w:rsid w:val="162000C0"/>
    <w:rsid w:val="165322D8"/>
    <w:rsid w:val="19297320"/>
    <w:rsid w:val="1A9F3D3E"/>
    <w:rsid w:val="1AB23A71"/>
    <w:rsid w:val="1C346708"/>
    <w:rsid w:val="1CF55E97"/>
    <w:rsid w:val="1DC52F6E"/>
    <w:rsid w:val="1E94348E"/>
    <w:rsid w:val="1F5009C9"/>
    <w:rsid w:val="1F817EB6"/>
    <w:rsid w:val="20133195"/>
    <w:rsid w:val="20E15355"/>
    <w:rsid w:val="216B481E"/>
    <w:rsid w:val="226D7882"/>
    <w:rsid w:val="234B7F26"/>
    <w:rsid w:val="23A979DB"/>
    <w:rsid w:val="24284DA4"/>
    <w:rsid w:val="246B6A3F"/>
    <w:rsid w:val="248875F1"/>
    <w:rsid w:val="263D5072"/>
    <w:rsid w:val="265C4D20"/>
    <w:rsid w:val="2790513A"/>
    <w:rsid w:val="28052EE7"/>
    <w:rsid w:val="28944322"/>
    <w:rsid w:val="28C3509B"/>
    <w:rsid w:val="29C27101"/>
    <w:rsid w:val="29E51041"/>
    <w:rsid w:val="2A8936FE"/>
    <w:rsid w:val="2B110340"/>
    <w:rsid w:val="2C974875"/>
    <w:rsid w:val="2D0F08AF"/>
    <w:rsid w:val="2DA441A6"/>
    <w:rsid w:val="2F350375"/>
    <w:rsid w:val="2F3E7229"/>
    <w:rsid w:val="2FD6638F"/>
    <w:rsid w:val="30AD0B0B"/>
    <w:rsid w:val="30B01360"/>
    <w:rsid w:val="30C16A65"/>
    <w:rsid w:val="315714BA"/>
    <w:rsid w:val="315C608D"/>
    <w:rsid w:val="320D55D9"/>
    <w:rsid w:val="32735B9B"/>
    <w:rsid w:val="34905060"/>
    <w:rsid w:val="349B6466"/>
    <w:rsid w:val="35951B6D"/>
    <w:rsid w:val="35CF7581"/>
    <w:rsid w:val="35F72828"/>
    <w:rsid w:val="36CF14AD"/>
    <w:rsid w:val="3934169D"/>
    <w:rsid w:val="398E0DAD"/>
    <w:rsid w:val="39CB0253"/>
    <w:rsid w:val="39D52E80"/>
    <w:rsid w:val="3A806334"/>
    <w:rsid w:val="3C1934F8"/>
    <w:rsid w:val="3C3C71E7"/>
    <w:rsid w:val="3C632AF7"/>
    <w:rsid w:val="3CBC6ED1"/>
    <w:rsid w:val="3E337645"/>
    <w:rsid w:val="3E5E5F0E"/>
    <w:rsid w:val="40877CF7"/>
    <w:rsid w:val="40E37C31"/>
    <w:rsid w:val="422463F6"/>
    <w:rsid w:val="4359242C"/>
    <w:rsid w:val="447C10AB"/>
    <w:rsid w:val="44D75CFE"/>
    <w:rsid w:val="457A48DC"/>
    <w:rsid w:val="46195EA3"/>
    <w:rsid w:val="4669682A"/>
    <w:rsid w:val="471D0AC9"/>
    <w:rsid w:val="48B06F92"/>
    <w:rsid w:val="49117305"/>
    <w:rsid w:val="4A8931E7"/>
    <w:rsid w:val="4BDF1E15"/>
    <w:rsid w:val="4C123AC0"/>
    <w:rsid w:val="4C73622A"/>
    <w:rsid w:val="4C7E4FB1"/>
    <w:rsid w:val="4CD509BB"/>
    <w:rsid w:val="4D7D2DC3"/>
    <w:rsid w:val="4EFD45B3"/>
    <w:rsid w:val="518E5997"/>
    <w:rsid w:val="53195734"/>
    <w:rsid w:val="537B63EF"/>
    <w:rsid w:val="53A2397B"/>
    <w:rsid w:val="53AD73B0"/>
    <w:rsid w:val="54370568"/>
    <w:rsid w:val="548A54D5"/>
    <w:rsid w:val="54C142D5"/>
    <w:rsid w:val="54CD2C7A"/>
    <w:rsid w:val="567F3C59"/>
    <w:rsid w:val="56B01835"/>
    <w:rsid w:val="58320DBB"/>
    <w:rsid w:val="58F63137"/>
    <w:rsid w:val="597506E7"/>
    <w:rsid w:val="5ACB5D29"/>
    <w:rsid w:val="5B047D2E"/>
    <w:rsid w:val="5DB22A0D"/>
    <w:rsid w:val="5ED6097D"/>
    <w:rsid w:val="5F3277D0"/>
    <w:rsid w:val="60213E7A"/>
    <w:rsid w:val="62481B92"/>
    <w:rsid w:val="65FB289F"/>
    <w:rsid w:val="66932D32"/>
    <w:rsid w:val="66DE62B5"/>
    <w:rsid w:val="678B49FB"/>
    <w:rsid w:val="67987117"/>
    <w:rsid w:val="6A030F78"/>
    <w:rsid w:val="6B4E646B"/>
    <w:rsid w:val="6BD6020E"/>
    <w:rsid w:val="6BF264A8"/>
    <w:rsid w:val="6D523D64"/>
    <w:rsid w:val="6D6B4986"/>
    <w:rsid w:val="6E096741"/>
    <w:rsid w:val="6E22598D"/>
    <w:rsid w:val="6EC758A7"/>
    <w:rsid w:val="6EE262A8"/>
    <w:rsid w:val="70141305"/>
    <w:rsid w:val="70D70CB1"/>
    <w:rsid w:val="70DB095A"/>
    <w:rsid w:val="711F4406"/>
    <w:rsid w:val="71DF425B"/>
    <w:rsid w:val="740D6797"/>
    <w:rsid w:val="743F077C"/>
    <w:rsid w:val="751D6EAE"/>
    <w:rsid w:val="75731D06"/>
    <w:rsid w:val="75C70702"/>
    <w:rsid w:val="760A5684"/>
    <w:rsid w:val="76A50F09"/>
    <w:rsid w:val="7981768C"/>
    <w:rsid w:val="7B407452"/>
    <w:rsid w:val="7BA7127F"/>
    <w:rsid w:val="7BEF51D5"/>
    <w:rsid w:val="7C9B0455"/>
    <w:rsid w:val="7E8E6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0"/>
      <w:szCs w:val="30"/>
      <w:lang w:eastAsia="en-US"/>
    </w:r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Autospacing="1" w:afterAutospacing="1"/>
      <w:jc w:val="left"/>
    </w:pPr>
    <w:rPr>
      <w:kern w:val="0"/>
      <w:sz w:val="24"/>
    </w:rPr>
  </w:style>
  <w:style w:type="character" w:styleId="8">
    <w:name w:val="Strong"/>
    <w:basedOn w:val="7"/>
    <w:autoRedefine/>
    <w:qFormat/>
    <w:uiPriority w:val="0"/>
    <w:rPr>
      <w:b/>
    </w:rPr>
  </w:style>
  <w:style w:type="paragraph" w:styleId="9">
    <w:name w:val="List Paragraph"/>
    <w:basedOn w:val="1"/>
    <w:autoRedefine/>
    <w:qFormat/>
    <w:uiPriority w:val="99"/>
    <w:pPr>
      <w:ind w:firstLine="420" w:firstLineChars="200"/>
    </w:pPr>
    <w:rPr>
      <w:szCs w:val="22"/>
    </w:rPr>
  </w:style>
  <w:style w:type="character" w:customStyle="1" w:styleId="10">
    <w:name w:val="font21"/>
    <w:basedOn w:val="7"/>
    <w:qFormat/>
    <w:uiPriority w:val="0"/>
    <w:rPr>
      <w:rFonts w:hint="eastAsia" w:ascii="宋体" w:hAnsi="宋体" w:eastAsia="宋体" w:cs="宋体"/>
      <w:color w:val="000000"/>
      <w:sz w:val="24"/>
      <w:szCs w:val="24"/>
      <w:u w:val="none"/>
    </w:rPr>
  </w:style>
  <w:style w:type="character" w:customStyle="1" w:styleId="11">
    <w:name w:val="font81"/>
    <w:basedOn w:val="7"/>
    <w:autoRedefine/>
    <w:qFormat/>
    <w:uiPriority w:val="0"/>
    <w:rPr>
      <w:rFonts w:hint="eastAsia" w:ascii="宋体" w:hAnsi="宋体" w:eastAsia="宋体" w:cs="宋体"/>
      <w:color w:val="000000"/>
      <w:sz w:val="24"/>
      <w:szCs w:val="24"/>
      <w:u w:val="single"/>
    </w:rPr>
  </w:style>
  <w:style w:type="character" w:customStyle="1" w:styleId="12">
    <w:name w:val="font71"/>
    <w:basedOn w:val="7"/>
    <w:autoRedefine/>
    <w:qFormat/>
    <w:uiPriority w:val="0"/>
    <w:rPr>
      <w:rFonts w:hint="eastAsia" w:ascii="宋体" w:hAnsi="宋体" w:eastAsia="宋体" w:cs="宋体"/>
      <w:color w:val="000000"/>
      <w:sz w:val="20"/>
      <w:szCs w:val="20"/>
      <w:u w:val="none"/>
    </w:rPr>
  </w:style>
  <w:style w:type="character" w:customStyle="1" w:styleId="13">
    <w:name w:val="font91"/>
    <w:basedOn w:val="7"/>
    <w:autoRedefine/>
    <w:qFormat/>
    <w:uiPriority w:val="0"/>
    <w:rPr>
      <w:rFonts w:hint="default" w:ascii="Times New Roman" w:hAnsi="Times New Roman" w:cs="Times New Roman"/>
      <w:color w:val="000000"/>
      <w:sz w:val="20"/>
      <w:szCs w:val="20"/>
      <w:u w:val="none"/>
    </w:rPr>
  </w:style>
  <w:style w:type="character" w:customStyle="1" w:styleId="14">
    <w:name w:val="正文文本 字符"/>
    <w:basedOn w:val="7"/>
    <w:link w:val="2"/>
    <w:qFormat/>
    <w:uiPriority w:val="0"/>
    <w:rPr>
      <w:rFonts w:ascii="仿宋" w:hAnsi="仿宋" w:eastAsia="仿宋" w:cs="仿宋"/>
      <w:snapToGrid w:val="0"/>
      <w:color w:val="000000"/>
      <w:sz w:val="30"/>
      <w:szCs w:val="3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1836</Words>
  <Characters>1905</Characters>
  <Lines>48</Lines>
  <Paragraphs>49</Paragraphs>
  <TotalTime>3</TotalTime>
  <ScaleCrop>false</ScaleCrop>
  <LinksUpToDate>false</LinksUpToDate>
  <CharactersWithSpaces>1909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2024-12-02T08:25:00Z</dcterms:created>
  <dc:creator>Administrator</dc:creator>
  <cp:lastModifiedBy>Asphyxia</cp:lastModifiedBy>
  <cp:lastPrinted>2023-09-06T09:04:00Z</cp:lastPrinted>
  <dcterms:modified xsi:type="dcterms:W3CDTF">2025-12-16T08:36:39Z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EB0E8B95BA9B45D18EBF6945D9119150_13</vt:lpwstr>
  </property>
  <property fmtid="{D5CDD505-2E9C-101B-9397-08002B2CF9AE}" pid="4" name="KSOTemplateDocerSaveRecord">
    <vt:lpwstr>eyJoZGlkIjoiYTBiMThhMzQ0OTkxNjQxYjk1MzgxNGFmN2Y1MjZjMjgiLCJ1c2VySWQiOiI0NDM3MDc0NjgifQ==</vt:lpwstr>
  </property>
</Properties>
</file>